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920" w:rsidRPr="008C3920" w:rsidRDefault="008C3920" w:rsidP="00067EB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Доклад Председателя ФНПР М.В. Шмакова по вопросу</w:t>
      </w:r>
    </w:p>
    <w:p w:rsidR="008C3920" w:rsidRPr="008C3920" w:rsidRDefault="008C3920" w:rsidP="00067EB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 текущей ситуации в экономике России</w:t>
      </w:r>
    </w:p>
    <w:p w:rsidR="008C3920" w:rsidRPr="008C3920" w:rsidRDefault="008C3920" w:rsidP="00067EB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на рынке труда»</w:t>
      </w:r>
    </w:p>
    <w:p w:rsidR="008C3920" w:rsidRPr="008C3920" w:rsidRDefault="008C3920" w:rsidP="00067EB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на заседании Генсовета ФНПР 14 апреля 2021 года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члены Генерального совета, уважаемые приглашённые!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десятка лет назад в нашей стране начались реформы, вроде бы призванные оздоровить её экономику. Хотя единодушия по поводу диагноза и методов лечения не было и дискуссии об их целесообразности идут до сих пор…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Тридцать лет назад в советской элите был принят постулат о неэффективности плановой экономики и переходе к рынку, призванному сообщить ей импульс роста…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Насколько эффективным было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лечение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каково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текущее состояние экономики нашей страны?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место – говорить, что все тридцать лет она была далека от благополучия, если судить об этом по благополучию большинства домохозяйств.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если в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нулевых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экономическое развитие России вроде бы стало оживать, то во втором десятилетии XXI в. оно опять заметно замедлилось. Многочисленные кризисы и краткосрочные спады практически полностью нивелировали наблюдавшийся рост. Существенная неравномерность распределения доходов населения, высокая нагрузка на доходы со стороны обязательных платежей налогов и штрафов и отсутствие адекватного роста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доходов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в сегменте оплаты труда, почти полное изъятие нефтегазовых доходов из реальной экономики в условиях неоднозначной внешнеэкономической динамики привели к значительному сокращению возможности поддержки экономического роста за счёт ресурсов внутреннего рынка, прежде всего спроса потребительского.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Мировой кризис, обусловленный на этот раз пандемией нового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обнажил хрупкость современного мироустройства, напомнив, </w:t>
      </w: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 без человека невозможны никакие, даже самые автоматизированные работы, а социальное благополучие является основой современной цивилизации. Он указал на недостаток кооперации в глобальном масштабе, всеобщую разрозненность, на нарушенную систему ценностей, в том числе недооценку труда в важных профессиях, прежде всего работников здравоохранения, на нерациональную структуру расходов и другие недостатки существующих общественных отношений.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отличие от предыдущих, кризис, возникший из-за пандемии новой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инфекции, существенно поднял планку ответственности лиц, принимающих решения, и установил приоритет решения социальных задач на качественно иной уровень: теперь решать их нужно не просто ради повышения благосостояния общества или удовлетворения политического запроса, а чтобы цивилизация, страна могла выжить.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Связанные с пандемией обвал и последующая существенная перестройка потребительских предпочтений стали для экономики России, проходящей длительный этап стагнации, очередным испытанием.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2600325"/>
            <wp:effectExtent l="19050" t="0" r="0" b="0"/>
            <wp:docPr id="1" name="Рисунок 1" descr="https://fnpr.ru/pic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npr.ru/pic/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отсутствием всех данных пока что невозможно полностью оценить его глубину и последствия, однако уже сейчас можно и нужно сделать выводы о принятых и, главное, необходимых мерах для сохранения и повышения темпов экономического роста.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2011-2020 годы потребительские цены выросли на 84,3%. Наибольший вклад в рост цен внесло продовольствие — на 90,9%; непродовольственные товары подорожали на 76,9%, услуги (в том числе ЖКХ) — на 85,9%.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2628900"/>
            <wp:effectExtent l="19050" t="0" r="0" b="0"/>
            <wp:docPr id="2" name="Рисунок 2" descr="https://fnpr.ru/pic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npr.ru/pic/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Быстрее всего цены росли в 2013-2015 годы, что связано также преимущественно с валютным фактором — сокращением почти в 2,5 раза покупательной способности рубля за данный период.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фоне прошедшего десятилетия рост цен в 2020 году на 4,9% представляется умеренным, хотя и превышает целевое значение, установленное Банком России. В прошлом году цены больше всего выросли также на продовольствие — на 6,7% (непродовольственные товары — 4,8%, услуги — 2,7%), однако главная причина роста изменилась: ускорение роста цен связано с возросшими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логистическими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издержками в период кризиса.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десятилетия преимущественным способом борьбы с ценами стали монетарные меры, «сопутствующей потерей» которых стало подавление спроса.  Также к некоторым сферам торговли пытались применить доказавшие свою несостоятельность ещё в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позднесоветский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подходы к ограничению цен. Стоит напомнить, что ограничение цен без каких-либо других мер гарантированно ведёт только к двум вещам: к дефициту на полках и возникновению торговли из-под полы.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эффективные макроэкономические меры воздействия на цены (стимулирование более доступного кредитования) и институциональные подходы (развитие конкуренции, снижение рисков ведения бизнеса) применялись редко или вовсе не использовались, что, по нашему мнению, является существенным упущением.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пандемии благодаря мерам поддержки,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направленным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и на облегчение кредитного бремени граждан и организаций, наблюдалось повышение доступности кредитования для всех категорий получателей.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2628900"/>
            <wp:effectExtent l="19050" t="0" r="0" b="0"/>
            <wp:docPr id="3" name="Рисунок 3" descr="https://fnpr.ru/pic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npr.ru/pic/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Вследствие недостатка собственных сре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гр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аждане всё чаще прибегают к использованию заёмных, а высокая кредитная нагрузка в совокупности с низкими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подушевыми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доходами создаёт дополнительную угрозу кризиса неплатежей физических лиц.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Апофеозом высокой склонности населения к получению кредитов стал прошедший год. Государство ввело поддерживающие меры для граждан, использующих кредитные средства для снижения их кредитной нагрузки в период кризиса, а они в свою очередь побили все рекорды по привлечению новых заёмных средств.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реальные располагаемые доходы населения, из которых исключаются обязательные платежи, в том числе по кредитам, за последние 10 лет не выросли, а снизились на 2,2%. </w:t>
      </w:r>
      <w:proofErr w:type="gramEnd"/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Из-за роста цен в 2020 году выше целевых четырёх процентов Банк России впервые с конца 2018 года принял решение повысить ключевую ставку — с 4,25 до 4,5%. Рост небольшой, но в совокупности с уже имеющейся кредитной нагрузкой и ожиданиями производителей и потребителей относительно экономического развития даже такой рост ключевой ставки способен замедлить или отсрочить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посткризисное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восстановление экономического роста. </w:t>
      </w:r>
      <w:proofErr w:type="gramEnd"/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2010-е годы стал особенно заметным курс на так называемую «бюджетную консолидацию», которая выразилась в дополнительном укреплении бюджетных полномочий федерального центра, излишней зависимости большинства регионов от поступлений из федерального бюджета.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2628900"/>
            <wp:effectExtent l="19050" t="0" r="0" b="0"/>
            <wp:docPr id="4" name="Рисунок 4" descr="https://fnpr.ru/pic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npr.ru/pic/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Возможно, такой подход и обладает большей прозрачностью и возможностями по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 за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движением средств, однако при этом ему явно недостаёт оперативности. К сожалению, профсоюзы неоднократно получали обращения о возникшей задолженности по зарплате перед работниками бюджетной сферы из-за несвоевременного поступления средств. И хотя, скажем откровенно, доля таких случаев в общем числе ситуаций с просроченной задолженностью по зарплатам минимальна, сам факт её возникновения «на пустом месте» вызывает большие вопросы.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Пожалуй, одной из самых спорных инициатив, с точки зрения профсоюзов, за последние 10 лет стала передача полномочий по осуществлению социально значимых государственных функций регионам без непосредственной передачи соответствующего финансирования, так как средства аккумулируются федеральным центром и распределяются в соответствии с государственными программами.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проблема та же: не хватает оперативности. Если потребуются дополнительные средства на разрешение каких-то острых ситуаций, денег у регионов может просто не быть.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мы имеем в результате принятых действий?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Доходы среднестатистического россиянина в фиксированных ценах выросли за минувшее десятилетие всего на 2%, в то время как физический объем ВВП — на 13%.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2628900"/>
            <wp:effectExtent l="19050" t="0" r="0" b="0"/>
            <wp:docPr id="5" name="Рисунок 5" descr="https://fnpr.ru/pic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npr.ru/pic/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Ранее уже было сказано про беспрецедентный рост потребительского кредитования на фоне антикризисных мер Правительства и Банка России в 2020 году, но нужно ещё раз подчеркнуть: идти на дополнительный риск, получая ещё больше кредитов в период кризиса, — это явный индикатор того, что гражданам не хватает собственных средств.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Острой проблемой в сфере доходов населения остаётся и существенное неравенство их распределения.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628900"/>
            <wp:effectExtent l="19050" t="0" r="0" b="0"/>
            <wp:docPr id="6" name="Рисунок 6" descr="https://fnpr.ru/pic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npr.ru/pic/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Соотношение доходов 10% наиболее богатых россиян к такому же числу самых бедных к настоящему времени сейчас больше 16 раз, а с учётом скрытых доходов расхождение может достигать от 28 до 36 раз. Ещё больше неравномерность по доходам в Москве — почти в 42 раза.  И разрыв продолжает расти.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сравнения: до 1991 года это соотношение составляло 4,5. Вместе с тем предельно допустимый для национальной безопасности уровень дифференциации доходов, по данным директора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Института социально-политических исследований РАН Геннадия Васильевича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Осипова, составляет 10 раз, т.е. в современной России он превышен почти втрое. Для сравнения, в Чехии он равен 5,1 раза, в наиболее развитых странах в целом — 8,1, в США — 16,9. И только в Бразилии он выше российского — 51,9 раза.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628900"/>
            <wp:effectExtent l="19050" t="0" r="0" b="0"/>
            <wp:docPr id="7" name="Рисунок 7" descr="https://fnpr.ru/pic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npr.ru/pic/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оценке</w:t>
      </w:r>
      <w:hyperlink r:id="rId11" w:anchor="_ftn1" w:history="1">
        <w:r w:rsidRPr="008C39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[1]</w:t>
        </w:r>
      </w:hyperlink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специалистов второго по величине швейцарского банка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Credit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Suisse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1% населения РФ в 2020 году владел 57% благосостояния страны. В мире этот показатель равен 44%, в том числе в США — 35%, в Китае и Германии — 29%, во Франции, Италии и Великобритании — около 23%, а в Японии — 18%.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Высшая школа экономики и Институт исследований и экспертизы Внешэкономбанка ещё в 2018 году провели исследование, целью которого был анализ уровня неравенства в России. Эксперты установили, что 89% всех наличных сбережений, 92% всех срочных вкладов и 89% всех финансовых активов принадлежат 3% богатых россиян. Именно они, наряду с саудовскими аристократами, являются владельцами самых больших и дорогих в мире яхт, самолётов, дворцов и других предметов роскоши.</w:t>
      </w:r>
      <w:hyperlink r:id="rId12" w:anchor="_ftn2" w:history="1">
        <w:r w:rsidRPr="008C39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[2]</w:t>
        </w:r>
      </w:hyperlink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Концентрация денег у этой группы людей возросла за пять лет: в 2013 году она владела 84% богатств. В докладе отмечается, что остальные 97% населения с тех пор стали жить хуже.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Вот как тут опять не вспомнить всеобщий закон капиталистического накопления! — экономический закон капитализма, согласно которому рост функционирующего общественного капитала, увеличение размеров и скорости его возрастания сопровождаются увеличением относительного перенаселения и ростом бедности и степени эксплуатации рабочего класса.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Накопление богатства на одном полюсе капиталистического общества ведет к накоплению на другом его полюсе безработицы и нищеты, что выражается в относительном, а иногда и в абсолютном ухудшении положения трудящихся</w:t>
      </w:r>
      <w:hyperlink r:id="rId13" w:anchor="_ftn3" w:history="1">
        <w:r w:rsidRPr="008C39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[3]</w:t>
        </w:r>
      </w:hyperlink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Отсюда нарастание антагонизма между трудом и капиталом, которое ведёт к революционному крушению капитализма. Формулируя этот закон, К. Маркс вместе с тем считал необходимым отметить, что, подобно всем другим законам, в своем осуществлении он модифицируется многочисленными обстоятельствами.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Заметно б</w:t>
      </w:r>
      <w:r w:rsidRPr="008C39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льших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успехов удалось добиться в той сфере, где власть прислушивались к профсоюзам.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минимального размера оплаты труда до величины прожиточного минимума, возврат к индексации заработной платы работников бюджетной сферы и сохранение курса на достижение показателей указов Президента России 2012 года привели к росту реальной заработной платы за тот же период в размере 30%. Однако этот рост сильно неравномерен как по отраслям, так и по регионам.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большая кредитная нагрузка и рост обязательных платежей отъедают значительную часть трудовых доходов,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хотя рост реальной зарплаты и проходил темпами почти 3% в год, реальные располагаемые доходы выросли всего на 2%.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то, что доходы граждан в течение длительного времени то сокращаются, то их рост колеблется около нулевой отметки, предложения профсоюзов по их увеличению зачастую не находят поддержки. В результате в различных планах и концепциях правительства, в проектах законов о федеральном бюджете и иных документах государственного планирования, на которые мы регулярно направляем отзывы, прогноз доходов хоть зачастую и довольно оптимистичен, но всегда ошибочен. Ведь новые меры не принимаются. А те, что уже апробированы, показали свою недостаточность для решения проблемы бедности: уже применяющийся подход может способствовать исключительно поддержанию реальных доходов населения, но не их увеличению.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2628900"/>
            <wp:effectExtent l="19050" t="0" r="0" b="0"/>
            <wp:docPr id="8" name="Рисунок 8" descr="https://fnpr.ru/pic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npr.ru/pic/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Совместными усилиями уровень среднемесячной начисленной заработной платы за 2020 год доведён до 51083 рублей. При этом показатель средней зарплаты слабо отражает реальное положение дел из-за сильного перекоса распределения в сторону несопоставимо высоких заработных плат небольшого количества людей. Согласно данным Росстата за апрель 2019 года, половина работников получала менее 33 тыс. рублей. А по данным Пенсионного фонда России, на основании которых принимался закон о новой методике расчёта МРОТ и прожиточного минимума (на них я обязательно остановлюсь позже), — медиана заработной платы составила и вовсе 30,5 тыс. рублей. Для того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понять всю остроту ситуации, достаточно сказать, что к середине прошлого года рассчитываемый ФНПР минимальный потребительский бюджет, необходимый для полноценного восстановления затраченных ресурсов, составлял 41874 рубля.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628900"/>
            <wp:effectExtent l="19050" t="0" r="0" b="0"/>
            <wp:docPr id="9" name="Рисунок 9" descr="https://fnpr.ru/pic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npr.ru/pic/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Тут стоит отметить, что в последний раз благосостояние было целью общегосударственной политики ещё Советского союза, причём являлось ключевой задачей. Конечно, задачи повышения благосостояния населения и снижения бедности были сформулированы в майских указах Президента Российской Федерации 2012 и 2018 годов.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их реализация до сих пор остаётся под вопросом: нет ни одной государственной программы, национального проекта или федерального закона, в котором основной целью стало бы повышение уровня жизни большинства россиян, и обычно целью выбирается достижение других макроэкономических показателей, а рост заработной платы или дохода возникает в прогнозах как побочный продукт достижения других целей.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этот побочный продукт возникает только в прогнозах, которые регулярно не сбываются, - и так и остаётся на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бумаге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ли на память, то ли для изучения впоследствии историками экономических теорий и практики. Причины, по которым никак не возобновится экономический рост, который правительство ежегодно ожидает в соответствии со своими стратегиями, прогнозами и концепциями, каждый раз разные, и почему-то всегда они игнорируют внутренний спрос.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628900"/>
            <wp:effectExtent l="19050" t="0" r="0" b="0"/>
            <wp:docPr id="10" name="Рисунок 10" descr="https://fnpr.ru/pic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npr.ru/pic/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текущем слайде как раз виден процесс роста бедности на одном полюсе, богатства – на другом и видно, как медленно и верно размывается середина…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ведь уровень жизни населения — это ключевая проблема, с которой связаны почти все причины неудовлетворительных темпов российского экономического роста. Мы уже неоднократно говорили о том, что низкие зарплаты — это отсутствие достаточного внутреннего спроса и инвестиций для развития реального сектора экономики; отсутствие ресурсов у человека </w:t>
      </w: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инвестирования в своё развитие и благополучие, без чего не будет сознательного гражданина и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самодостаточной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628900"/>
            <wp:effectExtent l="19050" t="0" r="0" b="0"/>
            <wp:docPr id="11" name="Рисунок 11" descr="https://fnpr.ru/pic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npr.ru/pic/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Неадекватная цена труда также означает занижение производительности труда (которая для непроизводственной сферы считается в терминах заработных плат!), «утечку мозгов», невозможность привлечения квалифицированных иностранных работников, на что рассчитывает наше правительство для преодоления демографической и квалификационной ямы. Низкие заработные платы подрывают формирование пенсионных накоплений, — это наблюдается уже сейчас, когда соотношение средней пенсии со средней зарплатой снижается.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628900"/>
            <wp:effectExtent l="19050" t="0" r="0" b="0"/>
            <wp:docPr id="12" name="Рисунок 12" descr="https://fnpr.ru/pic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npr.ru/pic/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влияние на заработную плату оказывают и спорные решения власти. Например, налог на профессиональный доход, внедрением которого так гордится Федеральная налоговая служба, — может стимулировать не только </w:t>
      </w: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«выход из тени», но и переход от защищённых и цивилизованных трудовых отношений к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самозанятости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хотя бы потому, что в краткосрочной перспективе так выгоднее и работнику, и работодателю. Работодатель не должен платить страховые взносы, работник вместо 13% подоходного налога перечисляет в бюджет четыре или шесть процентов. Но такое решение в итоге и приводит к тому, что ещё большее бремя платежей несут социально ответственные компании и работники. Кто-то может возразить, что в законе предусмотрены меры против таких злоупотреблений, но наш мониторинг показывает, что при должной заинтересованности всегда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 найти лазейку, например, путём реорганизации.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Попытки как-то приблизить уровень зарплаты к более приемлемым границам предпринимаются, прежде всего, путём повышения минимальных значений. Именно повышение МРОТ до прожиточного минимума в 2018 году внесло, пожалуй, наиболее значительный вклад (со стороны государственного управления) в рост заработной платы за последнее десятилетие. Напомню, экономически обоснованный уровень минимальной зарплаты (минимальный потребительский бюджет) — более 41 тысячи рублей, именно к нему нужно стремиться не только в целях снижения бедности, но и для обеспечения экономического роста.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628900"/>
            <wp:effectExtent l="19050" t="0" r="0" b="0"/>
            <wp:docPr id="13" name="Рисунок 13" descr="https://fnpr.ru/pic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npr.ru/pic/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теперь опять новый подход к расчёту МРОТ на основании медианной заработной платы по данным Пенсионного фонда консервирует повышение минимальной государственной гарантии по оплате труда на уровне инфляции.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говорили, что данные ПФР, в соответствии с которыми медиана заработной платы меньше — около 30,5 тыс. руб. — более «реальные», чем у </w:t>
      </w: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Росстата (медиана — более 33 тыс.). Однако на это возразим, что «реалистичность» данных Пенсионного фонда по сравнению с данными Росстата — это не повод занижать и без того недостаточные минимальные государственные гарантии по оплате труда. Консервация МРОТ в рамках и в привязке к текущему, явно недостаточному уровню заработной платы, обеспечивает рост не благосостояния, а бедности. Такой подход был бы актуален, если бы мы уже достигли необходимого минимума, а не в условиях, когда МРОТ нужно продолжать серьёзно повышать.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мы проигрываем конкуренцию по зарплатам и минимальным гарантиям не только наиболее развитым странам, но и странам Восточной Европы и даже Украине. Кстати, значительное повышение минимальных гарантий в указанных странах привели не к проблемам, которых так опасается наше правительство, но к повышению благосостояния населения. (И вот уже мы слышим с самого верха, что России уже и мигрантов не хватает для реализации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амбициозных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планов, например, в сфере строительства).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всего сказанного можно сделать лишь один вывод: нам необходим переход от полумер и временных решений, направленных на латание дыр, к целенаправленной и общегосударственной политике по повышению благосостояния граждан, прежде всего за счёт роста заработных плат.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628900"/>
            <wp:effectExtent l="19050" t="0" r="0" b="0"/>
            <wp:docPr id="14" name="Рисунок 14" descr="https://fnpr.ru/pic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npr.ru/pic/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основных действий по реализации такой политики должно стать решение проблем с оплатой труда работников бюджетной сферы. В России до сих пор не разработана новая система оплаты труда для бюджетников. Несмотря на позицию Конституционного суда и заявление Президента России о необходимости законодательного закрепления минимального </w:t>
      </w: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оклада работника бюджетной сферы на уровне не менее МРОТ, соответствующие нормы до сих пор не приняты. При этом не стоит забывать про ускоренное падение реальных зарплат в бюджетной сфере в 2015-2017 годы почти на 22% из-за отсутствия индексации заработной платы (кроме отдельных категорий, перечисленных в президентских указах). У миллионов человек зарплата сократилась почти на четверть, и никто эти потери компенсировать не собирается.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Ситуация в области занятости населения.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628900"/>
            <wp:effectExtent l="19050" t="0" r="0" b="0"/>
            <wp:docPr id="15" name="Рисунок 15" descr="https://fnpr.ru/pic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npr.ru/pic/1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в течение десятилетия сохранялся характерный для России низкий относительно развитых стран уровень наблюдаемой безработицы в диапазоне 4-5%.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628900"/>
            <wp:effectExtent l="19050" t="0" r="0" b="0"/>
            <wp:docPr id="16" name="Рисунок 16" descr="https://fnpr.ru/pic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npr.ru/pic/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благостные отчёты о низкой безработице не должны обманывать: разрыв между количеством легально работающих и численностью </w:t>
      </w: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трудоспособных — десятки миллионов. Даже среди официально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трудоустроенных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нередка скрытая безработица: неполное рабочее время, простои. Кроме того, наблюдается узкоотраслевой и региональный дефицит рабочих мест по конкретным специальностям, молодёжная безработица, территории с низким экономическим потенциалом.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современном экономическом развитии растёт сегмент цифровой экономики — всё ещё новой и потому часто «дикой» сфере общественных отношений. Всё большая часть чёрного рынка и криминала также переходит в цифровой формат. В частности, в последние годы существенно выросло количество фактов кражи и получения неавторизованного доступа к персональным данным граждан; махинаций с электронными цифровыми подписями. Вместо результатов труда людей преступники и нечистые на руку дельцы продают самих «людей» в виде информации о них.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628900"/>
            <wp:effectExtent l="19050" t="0" r="0" b="0"/>
            <wp:docPr id="17" name="Рисунок 17" descr="https://fnpr.ru/pic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npr.ru/pic/1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может не вызывать беспокойство, когда в стране, которая по праву может гордиться своим уровнем проникновения информационных технологий в общественную жизнь, в том числе в части оказания государственных услуг, происходит такой хаос с защитой информации. Несмотря на то, что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цифровизация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документооборота, в том числе и юридически значимого, является объективным процессом, в ней всё ещё присутствует много рисков. Поэтому цифровая трансформация экономики требует соответствующего изменения системы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обеспечением прав и гарантий граждан.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показаться, что эта проблема далека от профсоюзов, однако и это не так: утечка персональных данных, осуществление неавторизованного профилирования человека может использоваться нечистоплотными работодателями для дискриминации при трудоустройстве и установлении </w:t>
      </w: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заработной платы, для полулегальных увольнений по причинам несоответствия цифрового следа человека внутренним корпоративным ценностям и так далее.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недавно нашли уязвимость в интерфейсе проверки электронных чеков ФНС:</w:t>
      </w:r>
      <w:hyperlink r:id="rId24" w:anchor="_ftn4" w:history="1">
        <w:r w:rsidRPr="008C39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[4]</w:t>
        </w:r>
      </w:hyperlink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достаточно одной SMS с телефона конкретного человека – и можно посмотреть всю историю его покупок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… Э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уже не стриптиз, а препарирование. На клеточном уровне.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Недостаточность регулирования в этой бурно развивающейся сфере зачастую ставит граждан под удар: например, лишает права на защиту трудовых прав и гарантий работников так называемой платформенной занятости, для которых оператор цифровой платформы выступает не традиционным работодателем, а ни за что не отвечающим посредником.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это в основном в тех сферах, которые с технологическим развитием никак не связаны. Например, ранее таксист или курьер работал по трудовому договору, имел все соответствующие гарантии и права на пенсию. В новых условиях их трудовые функции никак не изменились, при этом доходы снизились, а гарантии вовсе отсутствуют.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628900"/>
            <wp:effectExtent l="19050" t="0" r="0" b="0"/>
            <wp:docPr id="18" name="Рисунок 18" descr="https://fnpr.ru/pic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npr.ru/pic/1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Правительство пытается легализовать новые трудовые отношения путём придания им статуса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самозанятости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сих пор не определена законодательно). И недавно ФНС особо отметила значительное число зарегистрировавшихся в системе плательщиков налога на профессиональный доход.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налог на профессиональный доход столь успешен, почему бы не распространить его условия на НДФЛ? Например, снизить ставку налога до 4-6% вместо 13 и предоставлять вычет в размере 1-2% до достижения налоговой базой определённой величины? Иначе мы приходим к ещё одной причине возникновения раскола из-за социальной несправедливости. Ведь должна же налоговая политика кроме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фискальной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выполнять ещё и функцию по сокращению острых диспропорций в уровне доходов граждан!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Мы выступаем не против, а за развитие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самозанятости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на условиях, которые бы отвечали современным требованиям по обеспечению социальными гарантиями и правами; за признание и институциональное оформление работодателя там, где присутствует трудовая функция.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полагают, что «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самозанятость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это не та тематика, которой должны заниматься профсоюзы. Однако так ли это?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Федеральной налоговой службы России, число официально зарегистрированных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самозанятых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уже 1,8 </w:t>
      </w:r>
      <w:proofErr w:type="spellStart"/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spellEnd"/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и, по данным Минэкономразвития России, достигнет 5 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к 2024 году, что сопоставимо с четвертью всех членов российских профсоюзов. Следовательно,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самозанятость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оказывать огромное влияние на трудовые отношения.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C39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628900"/>
            <wp:effectExtent l="19050" t="0" r="0" b="0"/>
            <wp:docPr id="19" name="Рисунок 19" descr="https://fnpr.ru/pic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npr.ru/pic/1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Выводятся из тени или нет, можно посмотреть по данным ФОМС. Часть средств с налога на профессиональный доход идет в ОМС. Число плательщиков за себя выросло или нет? Если не выросло, то это фикция.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Кроме того, как я сказал ранее, значительная часть так называемых «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самозанятых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» фактически могут являться самыми классическими наёмными работниками, за признание статуса которых мы намерены бороться, а некоторые, в кавычках, «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самозанятые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могут появляться и вовсе в результате манипуляций недобросовестных работодателей.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поступающей от членских организаций ФНПР информации можно сделать вывод, что рост числа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самозанятых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обусловлен не только легализацией тех, кто фактически является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самозанятыми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 тем, что работодатели переводят наёмных работников в категорию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самозанятых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предпочитают принимать на работу новых сотрудников в данном статусе, заключая с ними договоры гражданско-правового характера. Такая схема позволяет недобросовестным работодателям экономить на выплате налога на доходы физических лиц, страховых взносов в государственные внебюджетные фонды, а также на социально-трудовых гарантиях, установленных в трудовом законодательстве, коллективных договорах и соглашениях в сфере труда. Это снижает поступление сре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в с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истему обязательного социального страхования и бюджеты субъектов Российской Федерации, одной из основных статей дохода которых является НДФЛ. При этом работники, переведённые в статус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самозанятых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лишаются законных льгот, гарантий, а также права на объединение и защиту профсоюзами.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самозанятость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ставит под угрозу будущее трудовых отношений в России, а также обесценивает поправки в трудовое законодательство по дистанционной и временной удалённой работе, поскольку работодатели будут привлекать соответствующих работников к труду в качестве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самозанятых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решения описанных проблем ФНПР предлагает закрепить в законодательстве Российской Федерации правовой статус, права и гарантии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самозанятых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право на защиту через объединение в профсоюзы.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Другой заметной тенденцией, характеризующей состояние современного рынка труда в России, является постепенное сокращение доли работников со средним уровнем квалификации. Новые профессии, например, в сфере информационных технологий, обусловливают спрос на высококвалифицированных работников, труд работников средней квалификации всё больше подвергается автоматизации, а вот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низкоквалифицированный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 заменять не спешат: пока что стоимость автоматизации в большинстве случаев дороже интенсивного, но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низкопроизводительного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ручного труда. В итоге бывшие работники профессий из «средней» группы в связи с отсутствием возможности </w:t>
      </w: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своевременного получения дополнительного образования или переподготовки всё чаще вынуждены заниматься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низкоквалифицированным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трудом, что ведёт к снижению их уровня жизни. Такие ситуации как массовое увольнение на заводах или закрытие мест добычи полезных ископаемых, может приводить к лавинообразному росту предложения труда на рынке, где этот труд более не востребован, а низкая степень профессиональной мобильности не позволяет человеку найти рабочее место в других местах или сферах деятельности.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этой связи стоит ещё раз обратить внимание органов государственной власти на задачу организации условий для общедоступного массового непрерывного профессионального развития, в том числе переподготовки. В условиях, когда заработные платы не обеспечиваются на уровне минимального потребительского бюджета, большинство работников, и тем более тех, кто потерял работу, не в состоянии самостоятельно оплатить обучение, поэтому таким людям должно помогать государство.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Концепция непрерывного образования в течение всей жизни представлена во многих документах МОТ и является общепризнанным подходом, который мы обязаны внедрить в возможно короткие сроки. Первые шаги в данном направлении уже сделаны: сейчас безработные и лица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имеют право пройти обучение в службах занятости.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предлагаем распространить возможность получения образования по востребованным профессиям на всех граждан, в том числе работающих, с целью повышения профессиональной мобильности и роста производительности труда. В качестве дополнительного источника финансирования соответствующих расходов предлагается привлекать ресурсы </w:t>
      </w:r>
      <w:proofErr w:type="spellStart"/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бизнес-среды</w:t>
      </w:r>
      <w:proofErr w:type="spellEnd"/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кто, как не предприниматели, должны быть заинтересованы в подготовке нужных им работников «на заказ», и могут внести вклад в то, чтобы образование было наиболее приближенным к практическим потребностям экономики.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одной из основных мер оздоровления российской экономики сегодня предлагается привлечение иностранных граждан для осуществления трудовой деятельности в Российской Федерации.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Общенациональный план действий, обеспечивающих восстановление занятости и доходов населения, рост экономики и долгосрочные структурные изменения в экономике», одобренный на заседании Правительства </w:t>
      </w: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Российской Федерации 23 сентября 2020 года, предусматривает применение механизма привлечения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самозанятых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стран СНГ и ЕАЭС для работы в строительной отрасли с использованием цифровой платформы (раздел 8.2, п.4). </w:t>
      </w:r>
      <w:proofErr w:type="gramEnd"/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Расширение применения подобного механизма приведёт к серьёзным социальным, экономическим, политическим и иным рискам.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Пользуясь услугами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самозанятых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работодатель официально освобождён от обязанности создания для них безопасных условий труда. Использование труда данных граждан, особенно в таких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травмоопасных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видах экономической деятельности, как строительство, станет причиной их массовой гибели. Это повлечёт за собой рост социальной напряжённости и массовые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волнения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среди мигрантов, так и среди граждан Российской Федерации, вытесненных с рынка труда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самозанятыми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иностранцами. Более того, значительный рост смертности трудящихся иностранных граждан может привести к политической напряжённости между Российской Федерацией и государствами исхода данных граждан.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Минтрудом России разработан проект федерального закона «О внесении изменений в Закон Российской Федерации «О занятости населения в Российской Федерации» и Федеральный закон «О социальной защите инвалидов в Российской Федерации» в целях совершенствования регулирования вопросов установления и выполнения квоты для приёма на работу инвалидов. Законопроект предлагает дополнить Федеральный закон «О социальной защите инвалидов в Российской Федерации» статьёй 24.1, которая содержит дополнительные права работодателей в целях выполнения установленной квоты для трудоустройства инвалидов: согласно вносимым в неё дополнениям работодатель может принимать временно на работу работников-инвалидов из частных агентств занятости.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обратить внимание, что направляемые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ЧАЗами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работники осуществляют трудовые функции у лица, не являющегося их работодателем, и, кроме того, их работа является временной. Подобное положение не только не решает вопрос о трудоустройстве инвалидов, но и ставит под угрозу полагающиеся им трудовые гарантии. Фактически это означает ползучее расширение практики</w:t>
      </w:r>
      <w:hyperlink r:id="rId27" w:anchor="_ftn5" w:history="1">
        <w:r w:rsidRPr="008C39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[5]</w:t>
        </w:r>
      </w:hyperlink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предоставления персонала третьим лицам (то есть заёмный труд).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Уважаемые товарищи!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обязательного социального страхования достойно выдержала стресс-тест пандемией.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ФНПР и Пенсионный фонд РФ организовали совместную работу по реализации указа президента страны «О дополнительных мерах социальной поддержки семей, имеющих детей» (№ 249). Это было непросто, т.к. отдельные профсоюзные работники не сразу поняли роль и место профсоюзных организаций в такой работе.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на начальном этапе необходимо было разъяснить им значимость проводимых мероприятий и мер социальной поддержки.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Совместная работа способствовала организации «горячих линий», консультационных пунктов. В зависимости от ситуации в регионах применялись различные практики оказания помощи членам профсоюзов – юридические услуги, подача заявлений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отслеживание жалоб, в т.ч. по «сбоям» в работе электронного портала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членских организаций, помощь в получении выплат была оказана более 55 тысячам членов профсоюзов.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Аналогичная работа велась с Фондом обязательного социального страхования, работники которого показали высокий профессионализм и оперативность.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Эффективность сотрудничества с профсоюзами не осталась без внимания Правительства РФ, отметившего в своём приветствии 30-летию ФНПР значительный вклад в борьбу с новой опасностью 20 тысяч профсоюзных волонтёров. 500 профсоюзных руководителей, активистов, представителей сторон социального партнёрства награждены специальной профсоюзной наградой, учреждённой Исполкомом ФНПР.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феврале 2021 года был организован профсоюзный мониторинг членских организаций по вопросам массовой вакцинации работающих. Сейчас мы уже располагаем определённым числом подготовленных профсоюзных активистов и волонтёров, а также навыками организационной работы в условиях эпидемии.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этом фоне довольно странно звучат голоса отдельных политиков о неэффективности системы обязательного социального страхования.  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как вновь не вспомнить голоса политиков тридцатилетней давности о неэффективности советского строя и народного хозяйства!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мы считаем необходимым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отрегулировать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кратко- и среднесрочной перспективе?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всего, следует двигаться в сторону полной ратификации Конвенции № 102, а также дифференцировать социальное обеспечение и обязательное социальное страхование, как по функциям, так и по источникам финансирования.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Необходимость поддержания семей, лекарственного обеспечения, защита рабочих мест – это еще один урок, данный нам пандемией.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Страхование от безработицы, которого много лет мы добиваемся, — это не только замещение заработка при потере работы. Это возможность активного влияния на рынок труда путем прогнозирования и создания новых рабочих мест и формирование «новой» рабочей силы с так называемыми мягкими навыками, способной адаптироваться к меняющимся условиям.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Большие задачи стоят в области пенсионного обеспечения. Многочисленные попытки решения данного вопроса путем перенесения нагрузки с одной части населения на другую приводили к кризису системы и перманентной финансовой неустойчивости. Нелогичным результатом движения в этом направлении стало повышение пенсионного возраста в ситуации фактической стагнации экономики.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делать? Отвечаю: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Главное - разделить государственное обеспечение и обязательное пенсионное страхование, как по финансовым потокам, так и по системе и управления.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пенсионного страхования: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Обеспечить равноправные условия вхождения в пенсионную систему для всех категорий наемных работников, а также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самозанятых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исключив практику преференций по страховым взносам.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Рассмотреть возможность внутрисистемной дифференциации по группам: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занятые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реальной экономике;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занятые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бюджетной сфере;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работники финансово-неустойчивых организаций;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самозанятые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Финансово-неустойчивые группы и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самозанятых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выделять в подсистемы с особым режимом страхования, выгодным как застрахованным, так и системе обязательного пенсионного страхования.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Восстановить и законодательно закрепить коэффициент замещения утраченного заработка.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каждого конкретного человека понятие уровня достойной жизни на пенсии связано с прежним его доходом и с покупательной способностью получаемой пенсии. В мировой практике этот показатель принято выражать через коэффициент замещения пенсией утраченного заработка.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целевой норматив этот показатель в законодательстве РФ в настоящее время отсутствует (последний закон, где он присутствовал как норма, - это закон РФ «О государственных пенсиях в Российской Федерации» от 20.11.1990г. № 340-ФЗ).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Конвенции МОТ № 102 от 28 июня 1952 г. «О минимальных нормах социального обеспечения» предлагается в качестве минимального уровня обеспечения типового получателя коэффициент замещения пенсией утраченного заработка в размере 40%. Европейская социальная Хартия 1996 г. предлагает считать минимальной нормой социального обеспечения по старости коэффициент замещения в размере 55-60%.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России фактический коэффициент замещения трудовой пенсии по старости утраченного заработка за тридцать последних лет никогда не достигал этой планки.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«Досрочные» пенсии.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Сложный и болезненный вопрос. Необходимы систематические и серьёзные консультации по каждому виду досрочного пенсионного обеспечения.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Позиция ФНПР: существующий порядок должен изменять тот, кто добивался установления досрочной пенсии, мотивируя это особыми условиями труда. Ранее инициаторами выступили отраслевые министерства и соответствующие профсоюзы. Сегодня этим занимаются только профсоюзы.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Волевой и директивный подход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неприемлемы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Особенно с учётом современной «северной» политики и задачами «технологического рывка».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Досрочные пенсии — это более 10 </w:t>
      </w:r>
      <w:proofErr w:type="spellStart"/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spellEnd"/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наёмных работников. Вопросы крайне болезненны. Изменения в этой сфере необходимо проводить последовательно, но с учётом социальных последствий.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Индексация пенсий, права работающих пенсионеров.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Конвенция исчерпывающе решает этот вопрос, коэффициент замещения должен быть равен установленному законом нормативу – не менее 40 процентов. Оговорены и иные способы (ст.26 раздела V Конвенции МОТ № 102 «О минимальных нормах социального обеспечения» - наличие побочных доходов, заработная плата застрахованного выше устанавливаемого законодательством предела).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Применяемые в настоящее время методы «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неиндексации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ограничения баллов носят явно дискриминационный характер и не способствуют обеспечению равных прав застрахованных. Пенсионная формула – это не только механизм расчёта, но и возможное управление процессом последовательного увеличения размера пенсий. К сожалению,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 с 90-х годов этот механизм действует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в сторону уменьшения. Необходим универсальный, объективный механизм, нацеленный на повышение уровня пенсионного обеспечения, который способен работать в длительной перспективе.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Нерешённым остаётся вопрос присутствия накопительного компонента в структуре обязательного пенсионного страхования.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Позиция ФНПР: вывести накопительный компонент из системы обязательного пенсионного страхования, как не свойственный этой системе элемент. По мнению профсоюзов, накопительная система не решила заявленных задач: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повысить заинтересованность работников в защищённой старости;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способствовать появлению «длинных денег»;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разнообразить рынок пенсионных услуг.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касается создания гарантированного пенсионного плана (продукта) – он должен формироваться исключительно на добровольной основе по личному заявлению работника.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эффективного развития пенсионной системы, в первую очередь, необходимо повышать заработную плату, т.е. выходить на международные показатели по доле заработной платы в объёме ВВП. Низкий МРОТ даёт возможность работодателям устанавливать заработную плату не соответствующую потребительскому бюджету, необходимому для нормального воспроизводства рабочей силы, и ограничивает работника в приобретении пенсионных прав.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одна задача – обеспечить объективность тарифа. Работодатель, работник, государство – основные субъекты страхования. Решение задачи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соплатежей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этих основных участников системы обязательного пенсионного страхования (в разумной пропорции и с определённого уровня заработка) способны решить проблему соответствия покрытия установленных законом (государством) норм страхового обеспечения.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Вместо ожидаемых действий по урегулированию накопленных проблем на нынешнем этапе реализуется попытка централизации системы социальной защиты работников.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Правительство Российской Федерации без рассмотрения на Российской трёхсторонней комиссии по регулированию социально-трудовых отношений 20 февраля 2021 года приняло распоряжением № 431 «Концепцию цифровой и функциональной трансформации социальной сферы, относящейся к сфере деятельности Министерства труда и социальной защиты Российской Федерации на период до 2025 года». Одной из ее задач является реформирование системы обязательного социального страхования путем поэтапного расширения функций двух социальных внебюджетных фондов (ПФР и ФСС) и передача им полномочий по администрированию более широкого круга социальных пособий.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преобразований внешне благая – облегчить и упростить процесс обращения граждан за социальными пособиями и сделать более эффективным использование средств, направленных на социальную защиту </w:t>
      </w: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работающих и членов их семей, в том числе за счет сокращения организационных расходов самой системы.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снижения социальных гарантий наемных работников озабоченность поиском дополнительных ресурсов и обеспечением финансовой стабильности социальной сферы понятна и объяснима.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Федерация Независимых Профсоюзов России видит это в дальнейшем развитии института социального страхования – проверенного и эффективного средства защиты наёмных работников.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 развития обязательного социального страхования, тем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после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ратификации Российской Федерацией Конвенции МОТ № 102  «О минимальных нормах социального обеспечения», должны оставаться в приоритете ФНПР и ее членских организаций. В текущих экономических условиях социальным партнерам необходимо усилить совместную работу, направленную на сохранение мер социальной защиты работников, обеспечение достойного уровня социальных гарантий им и членам их семей.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Огромная часть социальных гарантий и льгот сегодня регулируется на уровне субъектов Российской Федерации. Это значит, что наши территориальные объединения должны усилить свою работу как с местным депутатским корпусом, так и исполнительной властью. Мы должны добиться заключения соглашений о минимальной заработной плате во всех субъектах Российской Федерации на уровне не ниже прожиточного минимума трудоспособного населения соответствующего субъекта.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Опираясь на проводимый ФНПР с 2011 года мониторинг практики работы региональных трёхсторонних комиссий можно заключить следующее: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большинстве субъектов Российской Федерации заседания трёхсторонних комиссий проходят нерегулярно (от 4 до 6 раз в год);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перечень обсуждаемых вопросов на заседаниях ограничен, в частности не уделяется достаточного внимания формированию и расходам региональных бюджетов, вопросам установления минимальной заработной платы, индексации заработной платы работников организаций всех форм собственности, задолженности по заработной плате;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решения, принятые на заседаниях трёхсторонних комиссий, зачастую не выполняются региональными правительствами и работодателями;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 во всех субъектах РФ сформированы полномочные представители сторон социального партнёрства;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недостаточно взаимодействие Российской трёхсторонней комиссии с региональными трёхсторонними комиссиями.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активной позиции представителей ФНПР в рабочей группе по подготовке поправок в Конституцию Российской Федерации установлена конституционная обязанность Правительства Российской Федерации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реализацию принципов социального партнёрства в сфере регулирования трудовых и иных непосредственно связанных с ними отношений.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пока это остаётся, скорее, декларацией, чем действительной нормой, исполняемой всеми органами власти и работодателями.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Яркой иллюстрацией декларативности отдельных элементов социального партнёрства может служить ситуация с установлением прожиточного минимума в регионах. Только в 49 из 85 субъектов РФ прожиточный минимум на 2021 год установлен в большем размере, чем во втором квартале 2020 года. Да, новая методика расчёта ПМ предполагает переходный период, и в 2021 году ему отводится роль своего рода «мёртвого сезона», в течение которого регионам разрешено замораживать прожиточный минимум на уровне прожиточного минимума 2-го квартала предыдущего года. Однако это отнюдь не догма, и региональные трёхсторонние комиссии по регулированию социально-трудовых отношений должны бы были более активно и деятельно пользоваться своим правом регулирования социально-трудовых отношений, отстаивать более высокий уровень прожиточного минимума. На практике же мы получаем сведения от территориальных объединений профсоюзов о неучастии местных трёхсторонних комиссий в процессе установления ПМ, либо об одобрении ими ПМ на уровне 2020 года. 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Конечно, в некоторых субъектах трехсторонние комиссии работают не на бумаге, а на деле. Воодушевляющий пример такой плодотворной работы мы находим в Республике Татарстан, где социальные партнёры не согласовали первоначальный проект республиканского министерства труда, который предполагал установление прожиточного минимума на 2021 год в той же величине, что и во 2-м квартале 2020 года. В результате – при участии </w:t>
      </w: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 профсоюзов Республики Татарстан – размеры прожиточного минимума в республике были увеличены.  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социальных проблем — это одна из главных причин, по которой возникли профсоюзы.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Несмотря на более чем 150 лет существования профсоюзного движения, в любую эпоху и любом месте существуют и возникают факторы, которые создают угрозы и вызовы человеку труда. От Международной организации труда в конце прошлого века все эти вызовы-симптомы получили название: дефицит достойного труда.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мы постоянно напоминаем социальным партнёрам о том, что дефицит достойного труда тормозит экономический рост и питает почву для новых кризисов в российской экономике. Например, отсутствие адекватного роста заработной платы в бюджетном секторе приводит к отсутствию конкуренции с заработными платами в частном, а в совокупности — к низкому внутреннему спросу, который является основной движущей силой экономического развития.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считаем, что пока стандарты достойного труда не будут распространяться на подавляющее большинство работников, кризисы будут неотрывно преследовать нашу экономику, что, собственно,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наблюдаем на протяжении трёх десятилетий.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мы считаем необходимым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Президенту Российской Федерации дать прямые указания органам государственной власти для осуществления подготовки и выделения дополнительного финансирования на модернизацию существующей социальной инфраструктуры, достижения стандартов достойного труда для решения социально-экономических и в целом общественных проблем в стране.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это надо было уже давно, так как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экономические процессы</w:t>
      </w:r>
      <w:proofErr w:type="gram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инерционны. Но, как говорится во всем известной пословице, «лучше поздно, чем никогда».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Социальная справедливость и экономическая эффективность: есть ли противоречие? Теория говорит, что есть – диалектическое. И это означает, что по-настоящему экономически эффективным может быть только социально справедливое решение, социально справедливая политика. </w:t>
      </w: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8C3920" w:rsidRPr="008C3920" w:rsidRDefault="008C3920" w:rsidP="008C39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920" w:rsidRPr="008C3920" w:rsidRDefault="008C3920" w:rsidP="008C39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anchor="_ftnref1" w:history="1">
        <w:r w:rsidRPr="008C39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[1]</w:t>
        </w:r>
      </w:hyperlink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9" w:history="1">
        <w:r w:rsidRPr="008C39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https://www.credit-suisse.com/about-us/en/reports-research/global-wealth-report.html</w:t>
        </w:r>
      </w:hyperlink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3920" w:rsidRPr="008C3920" w:rsidRDefault="008C3920" w:rsidP="008C39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0" w:anchor="_ftnref2" w:history="1">
        <w:r w:rsidRPr="008C39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[2]</w:t>
        </w:r>
      </w:hyperlink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 Газета "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Коммерсантъ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№65 от 12.04.2019, стр. 1 </w:t>
      </w:r>
    </w:p>
    <w:p w:rsidR="008C3920" w:rsidRPr="008C3920" w:rsidRDefault="008C3920" w:rsidP="008C39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1" w:anchor="_ftnref3" w:history="1">
        <w:r w:rsidRPr="008C39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[3]</w:t>
        </w:r>
      </w:hyperlink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(см. Маркс К., Энгельс Ф. Соч., т. 23, С. 659) </w:t>
      </w:r>
    </w:p>
    <w:p w:rsidR="008C3920" w:rsidRPr="008C3920" w:rsidRDefault="008C3920" w:rsidP="008C39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2" w:anchor="_ftnref4" w:history="1">
        <w:r w:rsidRPr="008C39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[4]</w:t>
        </w:r>
      </w:hyperlink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3" w:history="1">
        <w:r w:rsidRPr="008C39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https://habr.com/ru/post/547272/</w:t>
        </w:r>
      </w:hyperlink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3920" w:rsidRPr="008C3920" w:rsidRDefault="008C3920" w:rsidP="008C39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920" w:rsidRPr="008C3920" w:rsidRDefault="008C3920" w:rsidP="008C39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4" w:anchor="_ftnref5" w:history="1">
        <w:r w:rsidRPr="008C39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[5]</w:t>
        </w:r>
      </w:hyperlink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Перечень случаев, когда </w:t>
      </w:r>
      <w:proofErr w:type="spell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>ЧАЗам</w:t>
      </w:r>
      <w:proofErr w:type="spellEnd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направлять работников на работу, устанавливается статьей 341.2 Трудового кодекса. </w:t>
      </w:r>
      <w:proofErr w:type="gramStart"/>
      <w:r w:rsidRPr="008C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Договоры о временной работе могут заключаться: с физическим лицом, не являющимся индивидуальным предпринимателем, в целях личного обслуживания, оказания помощи по ведению домашнего хозяйства; с индивидуальным предпринимателем или юридическим лицом на время исполнения обязанностей отсутствующих работников; с индивидуальным предпринимателем или юридическим лицом для проведения работ, связанных с заведомо временным (до девяти месяцев) расширением производства работ или объёма оказываемых услуг. </w:t>
      </w:r>
      <w:proofErr w:type="gramEnd"/>
    </w:p>
    <w:p w:rsidR="00295DAE" w:rsidRPr="008C3920" w:rsidRDefault="00067EBF" w:rsidP="008C392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95DAE" w:rsidRPr="008C3920" w:rsidSect="00E32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920"/>
    <w:rsid w:val="0004199F"/>
    <w:rsid w:val="00067EBF"/>
    <w:rsid w:val="001B7C3B"/>
    <w:rsid w:val="00387413"/>
    <w:rsid w:val="00403A11"/>
    <w:rsid w:val="00424820"/>
    <w:rsid w:val="008C3920"/>
    <w:rsid w:val="00932058"/>
    <w:rsid w:val="00E32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3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C392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C3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6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applewebdata://970D4BC0-A6F4-4CA2-9A1E-D5E9D44762AA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hyperlink" Target="applewebdata://970D4BC0-A6F4-4CA2-9A1E-D5E9D44762AA" TargetMode="External"/><Relationship Id="rId7" Type="http://schemas.openxmlformats.org/officeDocument/2006/relationships/image" Target="media/image4.png"/><Relationship Id="rId12" Type="http://schemas.openxmlformats.org/officeDocument/2006/relationships/hyperlink" Target="applewebdata://970D4BC0-A6F4-4CA2-9A1E-D5E9D44762AA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hyperlink" Target="https://habr.com/ru/post/547272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credit-suisse.com/about-us/en/reports-research/global-wealth-report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applewebdata://970D4BC0-A6F4-4CA2-9A1E-D5E9D44762AA" TargetMode="External"/><Relationship Id="rId24" Type="http://schemas.openxmlformats.org/officeDocument/2006/relationships/hyperlink" Target="applewebdata://970D4BC0-A6F4-4CA2-9A1E-D5E9D44762AA" TargetMode="External"/><Relationship Id="rId32" Type="http://schemas.openxmlformats.org/officeDocument/2006/relationships/hyperlink" Target="applewebdata://970D4BC0-A6F4-4CA2-9A1E-D5E9D44762AA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applewebdata://970D4BC0-A6F4-4CA2-9A1E-D5E9D44762AA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31" Type="http://schemas.openxmlformats.org/officeDocument/2006/relationships/hyperlink" Target="applewebdata://970D4BC0-A6F4-4CA2-9A1E-D5E9D44762AA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applewebdata://970D4BC0-A6F4-4CA2-9A1E-D5E9D44762AA" TargetMode="External"/><Relationship Id="rId30" Type="http://schemas.openxmlformats.org/officeDocument/2006/relationships/hyperlink" Target="applewebdata://970D4BC0-A6F4-4CA2-9A1E-D5E9D44762AA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29</Pages>
  <Words>7074</Words>
  <Characters>40326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Хаптасова</dc:creator>
  <cp:lastModifiedBy>Хаптасова</cp:lastModifiedBy>
  <cp:revision>1</cp:revision>
  <dcterms:created xsi:type="dcterms:W3CDTF">2021-04-20T01:06:00Z</dcterms:created>
  <dcterms:modified xsi:type="dcterms:W3CDTF">2021-04-20T01:20:00Z</dcterms:modified>
</cp:coreProperties>
</file>